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sz w:val="28"/>
          <w:szCs w:val="28"/>
        </w:rPr>
      </w:pPr>
      <w:bookmarkStart w:colFirst="0" w:colLast="0" w:name="_z06hwjnzpniy" w:id="0"/>
      <w:bookmarkEnd w:id="0"/>
      <w:r w:rsidDel="00000000" w:rsidR="00000000" w:rsidRPr="00000000">
        <w:rPr>
          <w:rtl w:val="0"/>
        </w:rPr>
        <w:t xml:space="preserve">Protocole de mesures avec le Plastic Scanner</w:t>
      </w:r>
      <w:r w:rsidDel="00000000" w:rsidR="00000000" w:rsidRPr="00000000">
        <w:rPr>
          <w:rtl w:val="0"/>
        </w:rPr>
      </w:r>
    </w:p>
    <w:p w:rsidR="00000000" w:rsidDel="00000000" w:rsidP="00000000" w:rsidRDefault="00000000" w:rsidRPr="00000000" w14:paraId="00000002">
      <w:pPr>
        <w:rPr>
          <w:sz w:val="28"/>
          <w:szCs w:val="28"/>
        </w:rPr>
      </w:pPr>
      <w:r w:rsidDel="00000000" w:rsidR="00000000" w:rsidRPr="00000000">
        <w:rPr>
          <w:rtl w:val="0"/>
        </w:rPr>
      </w:r>
    </w:p>
    <w:p w:rsidR="00000000" w:rsidDel="00000000" w:rsidP="00000000" w:rsidRDefault="00000000" w:rsidRPr="00000000" w14:paraId="00000003">
      <w:pPr>
        <w:pStyle w:val="Heading1"/>
        <w:rPr/>
      </w:pPr>
      <w:bookmarkStart w:colFirst="0" w:colLast="0" w:name="_jehcyqqw21t9" w:id="1"/>
      <w:bookmarkEnd w:id="1"/>
      <w:r w:rsidDel="00000000" w:rsidR="00000000" w:rsidRPr="00000000">
        <w:rPr>
          <w:rtl w:val="0"/>
        </w:rPr>
        <w:t xml:space="preserve">Présentation de l’appareil</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Le Plastic Scanner est un appareil de mesures pouvant détecter et identifier des plastiques au sein de différents échantillons. Cette opération est possible grâce au circuit imprimé contenant une carte Arduino, dont la programmation a été effectuée durant le projet, ainsi que les LEDs émettrices installées sur le circuit. Ces dernières émettent à tour de rôle des faisceaux lumineux à différentes plages de longueur d’ondes. Les rayons réfléchis par l’échantillon sont captés par une photodiode, la réponse est ensuite envoyée à la carte Arduino afin de procéder au traitement des données.</w:t>
      </w:r>
    </w:p>
    <w:p w:rsidR="00000000" w:rsidDel="00000000" w:rsidP="00000000" w:rsidRDefault="00000000" w:rsidRPr="00000000" w14:paraId="00000006">
      <w:pPr>
        <w:pStyle w:val="Heading1"/>
        <w:rPr/>
      </w:pPr>
      <w:bookmarkStart w:colFirst="0" w:colLast="0" w:name="_eiyxmwehght7" w:id="2"/>
      <w:bookmarkEnd w:id="2"/>
      <w:r w:rsidDel="00000000" w:rsidR="00000000" w:rsidRPr="00000000">
        <w:rPr>
          <w:rtl w:val="0"/>
        </w:rPr>
        <w:t xml:space="preserve">Principe de fonctionnement</w:t>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sz w:val="24"/>
          <w:szCs w:val="24"/>
          <w:rtl w:val="0"/>
        </w:rPr>
        <w:t xml:space="preserve">Le fonctionnement du Plastic Scanner repose sur les LEDs émettrices ainsi que le programme Arduino. Les différentes étapes sont telles que :</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numPr>
          <w:ilvl w:val="0"/>
          <w:numId w:val="1"/>
        </w:numPr>
        <w:ind w:left="720" w:hanging="360"/>
        <w:rPr>
          <w:sz w:val="24"/>
          <w:szCs w:val="24"/>
          <w:u w:val="none"/>
        </w:rPr>
      </w:pPr>
      <w:r w:rsidDel="00000000" w:rsidR="00000000" w:rsidRPr="00000000">
        <w:rPr>
          <w:sz w:val="24"/>
          <w:szCs w:val="24"/>
          <w:rtl w:val="0"/>
        </w:rPr>
        <w:t xml:space="preserve">L’initialisation des composants connectés au circuit</w:t>
      </w:r>
    </w:p>
    <w:p w:rsidR="00000000" w:rsidDel="00000000" w:rsidP="00000000" w:rsidRDefault="00000000" w:rsidRPr="00000000" w14:paraId="0000000B">
      <w:pPr>
        <w:numPr>
          <w:ilvl w:val="0"/>
          <w:numId w:val="1"/>
        </w:numPr>
        <w:ind w:left="720" w:hanging="360"/>
        <w:rPr>
          <w:sz w:val="24"/>
          <w:szCs w:val="24"/>
          <w:u w:val="none"/>
        </w:rPr>
      </w:pPr>
      <w:r w:rsidDel="00000000" w:rsidR="00000000" w:rsidRPr="00000000">
        <w:rPr>
          <w:sz w:val="24"/>
          <w:szCs w:val="24"/>
          <w:rtl w:val="0"/>
        </w:rPr>
        <w:t xml:space="preserve">Activation des LEDs à tour de rôle tout en assurant la qualité des mesures grâce à la mise en place d’un court temps d’attente entre chaque activation</w:t>
      </w:r>
    </w:p>
    <w:p w:rsidR="00000000" w:rsidDel="00000000" w:rsidP="00000000" w:rsidRDefault="00000000" w:rsidRPr="00000000" w14:paraId="0000000C">
      <w:pPr>
        <w:numPr>
          <w:ilvl w:val="0"/>
          <w:numId w:val="1"/>
        </w:numPr>
        <w:ind w:left="720" w:hanging="360"/>
        <w:rPr>
          <w:sz w:val="24"/>
          <w:szCs w:val="24"/>
          <w:u w:val="none"/>
        </w:rPr>
      </w:pPr>
      <w:r w:rsidDel="00000000" w:rsidR="00000000" w:rsidRPr="00000000">
        <w:rPr>
          <w:sz w:val="24"/>
          <w:szCs w:val="24"/>
          <w:rtl w:val="0"/>
        </w:rPr>
        <w:t xml:space="preserve">Envoi de faisceaux lumineux sur l’échantillon à chaque activation</w:t>
      </w:r>
    </w:p>
    <w:p w:rsidR="00000000" w:rsidDel="00000000" w:rsidP="00000000" w:rsidRDefault="00000000" w:rsidRPr="00000000" w14:paraId="0000000D">
      <w:pPr>
        <w:numPr>
          <w:ilvl w:val="0"/>
          <w:numId w:val="1"/>
        </w:numPr>
        <w:ind w:left="720" w:hanging="360"/>
        <w:rPr>
          <w:sz w:val="24"/>
          <w:szCs w:val="24"/>
          <w:u w:val="none"/>
        </w:rPr>
      </w:pPr>
      <w:r w:rsidDel="00000000" w:rsidR="00000000" w:rsidRPr="00000000">
        <w:rPr>
          <w:sz w:val="24"/>
          <w:szCs w:val="24"/>
          <w:rtl w:val="0"/>
        </w:rPr>
        <w:t xml:space="preserve">Réflection des faisceaux lumineux par l’échantillon</w:t>
      </w:r>
    </w:p>
    <w:p w:rsidR="00000000" w:rsidDel="00000000" w:rsidP="00000000" w:rsidRDefault="00000000" w:rsidRPr="00000000" w14:paraId="0000000E">
      <w:pPr>
        <w:numPr>
          <w:ilvl w:val="0"/>
          <w:numId w:val="1"/>
        </w:numPr>
        <w:ind w:left="720" w:hanging="360"/>
        <w:rPr>
          <w:sz w:val="24"/>
          <w:szCs w:val="24"/>
          <w:u w:val="none"/>
        </w:rPr>
      </w:pPr>
      <w:r w:rsidDel="00000000" w:rsidR="00000000" w:rsidRPr="00000000">
        <w:rPr>
          <w:sz w:val="24"/>
          <w:szCs w:val="24"/>
          <w:rtl w:val="0"/>
        </w:rPr>
        <w:t xml:space="preserve">Réception des signaux lumineux par une photodiode convertissant le signal lumineux en signal électrique</w:t>
      </w:r>
    </w:p>
    <w:p w:rsidR="00000000" w:rsidDel="00000000" w:rsidP="00000000" w:rsidRDefault="00000000" w:rsidRPr="00000000" w14:paraId="0000000F">
      <w:pPr>
        <w:numPr>
          <w:ilvl w:val="0"/>
          <w:numId w:val="1"/>
        </w:numPr>
        <w:ind w:left="720" w:hanging="360"/>
        <w:rPr>
          <w:sz w:val="24"/>
          <w:szCs w:val="24"/>
          <w:u w:val="none"/>
        </w:rPr>
      </w:pPr>
      <w:r w:rsidDel="00000000" w:rsidR="00000000" w:rsidRPr="00000000">
        <w:rPr>
          <w:sz w:val="24"/>
          <w:szCs w:val="24"/>
          <w:rtl w:val="0"/>
        </w:rPr>
        <w:t xml:space="preserve">Valeurs d’intensité reçues par le capteur envoyées à la carte Arduino</w:t>
      </w:r>
    </w:p>
    <w:p w:rsidR="00000000" w:rsidDel="00000000" w:rsidP="00000000" w:rsidRDefault="00000000" w:rsidRPr="00000000" w14:paraId="00000010">
      <w:pPr>
        <w:numPr>
          <w:ilvl w:val="0"/>
          <w:numId w:val="1"/>
        </w:numPr>
        <w:ind w:left="720" w:hanging="360"/>
        <w:rPr>
          <w:sz w:val="24"/>
          <w:szCs w:val="24"/>
          <w:u w:val="none"/>
        </w:rPr>
      </w:pPr>
      <w:r w:rsidDel="00000000" w:rsidR="00000000" w:rsidRPr="00000000">
        <w:rPr>
          <w:sz w:val="24"/>
          <w:szCs w:val="24"/>
          <w:rtl w:val="0"/>
        </w:rPr>
        <w:t xml:space="preserve">Traitement des données afin d’identifier le plastique grâce au programme</w:t>
      </w:r>
    </w:p>
    <w:p w:rsidR="00000000" w:rsidDel="00000000" w:rsidP="00000000" w:rsidRDefault="00000000" w:rsidRPr="00000000" w14:paraId="00000011">
      <w:pPr>
        <w:numPr>
          <w:ilvl w:val="0"/>
          <w:numId w:val="1"/>
        </w:numPr>
        <w:ind w:left="720" w:hanging="360"/>
        <w:rPr>
          <w:sz w:val="24"/>
          <w:szCs w:val="24"/>
          <w:u w:val="none"/>
        </w:rPr>
      </w:pPr>
      <w:r w:rsidDel="00000000" w:rsidR="00000000" w:rsidRPr="00000000">
        <w:rPr>
          <w:sz w:val="24"/>
          <w:szCs w:val="24"/>
          <w:rtl w:val="0"/>
        </w:rPr>
        <w:t xml:space="preserve">Affichage du nom du plastique identifié sur l’écran</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pStyle w:val="Heading1"/>
        <w:rPr/>
      </w:pPr>
      <w:bookmarkStart w:colFirst="0" w:colLast="0" w:name="_dpljoofubi4q" w:id="3"/>
      <w:bookmarkEnd w:id="3"/>
      <w:r w:rsidDel="00000000" w:rsidR="00000000" w:rsidRPr="00000000">
        <w:rPr>
          <w:rtl w:val="0"/>
        </w:rPr>
        <w:t xml:space="preserve">Méthode de mesures</w:t>
      </w:r>
    </w:p>
    <w:p w:rsidR="00000000" w:rsidDel="00000000" w:rsidP="00000000" w:rsidRDefault="00000000" w:rsidRPr="00000000" w14:paraId="00000014">
      <w:pPr>
        <w:rPr>
          <w:sz w:val="32"/>
          <w:szCs w:val="32"/>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sz w:val="24"/>
          <w:szCs w:val="24"/>
          <w:rtl w:val="0"/>
        </w:rPr>
        <w:t xml:space="preserve">Les mesures se font sur une surface blanche afin d’éviter les éventuelles influences sur les résultats causées par. L’échantillon est placé sur la surface, avant d’être aligné avec les LEDs du Plastic Scanner. Bien que rudimentaire, la seule façon que l’on a mise en place afin de fixer l’échantillon au Scanner pour garantir son immobilité est d’utiliser du ruban adhésif, méthode qui va devoir être modifiée, pour des raisons évidentes de praticité et d’ergonomie. L’appareil est ensuite tourné vers la surface blanche, afin de commencer les mesures. Le programme est ensuite initié afin de lancer l’acquisition des mesures d’intensité. La mesure est effectuée pendant plusieurs dizaines de secondes. Après le temps écoulé, l’acquisition des données permet d’identifier l’échantillon, dont le nom sera affiché sur l’écran OLED. </w:t>
      </w:r>
      <w:r w:rsidDel="00000000" w:rsidR="00000000" w:rsidRPr="00000000">
        <w:drawing>
          <wp:anchor allowOverlap="1" behindDoc="0" distB="114300" distT="114300" distL="114300" distR="114300" hidden="0" layoutInCell="1" locked="0" relativeHeight="0" simplePos="0">
            <wp:simplePos x="0" y="0"/>
            <wp:positionH relativeFrom="column">
              <wp:posOffset>69851</wp:posOffset>
            </wp:positionH>
            <wp:positionV relativeFrom="paragraph">
              <wp:posOffset>819150</wp:posOffset>
            </wp:positionV>
            <wp:extent cx="1700980" cy="2267973"/>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700980" cy="2267973"/>
                    </a:xfrm>
                    <a:prstGeom prst="rect"/>
                    <a:ln/>
                  </pic:spPr>
                </pic:pic>
              </a:graphicData>
            </a:graphic>
          </wp:anchor>
        </w:drawing>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pStyle w:val="Heading2"/>
        <w:rPr/>
      </w:pPr>
      <w:bookmarkStart w:colFirst="0" w:colLast="0" w:name="_7doqlj8v7ifs" w:id="4"/>
      <w:bookmarkEnd w:id="4"/>
      <w:r w:rsidDel="00000000" w:rsidR="00000000" w:rsidRPr="00000000">
        <w:rPr>
          <w:rtl w:val="0"/>
        </w:rPr>
        <w:t xml:space="preserve">Précautions à prendre lors des mesures</w:t>
      </w:r>
    </w:p>
    <w:p w:rsidR="00000000" w:rsidDel="00000000" w:rsidP="00000000" w:rsidRDefault="00000000" w:rsidRPr="00000000" w14:paraId="00000018">
      <w:pPr>
        <w:rPr/>
      </w:pPr>
      <w:r w:rsidDel="00000000" w:rsidR="00000000" w:rsidRPr="00000000">
        <w:rPr>
          <w:rtl w:val="0"/>
        </w:rPr>
        <w:t xml:space="preserve">Plusieurs facteurs peuvent influer sur les mesures réalisées grâce au </w:t>
      </w:r>
      <w:r w:rsidDel="00000000" w:rsidR="00000000" w:rsidRPr="00000000">
        <w:rPr>
          <w:rtl w:val="0"/>
        </w:rPr>
        <w:t xml:space="preserve">Plastic</w:t>
      </w:r>
      <w:r w:rsidDel="00000000" w:rsidR="00000000" w:rsidRPr="00000000">
        <w:rPr>
          <w:rtl w:val="0"/>
        </w:rPr>
        <w:t xml:space="preserve"> Scanner. En effet, du fait de sa nature photosensible, la diode ne doit pas être face à la lumière environnante lors de la campagne de mesures.</w:t>
      </w:r>
    </w:p>
    <w:p w:rsidR="00000000" w:rsidDel="00000000" w:rsidP="00000000" w:rsidRDefault="00000000" w:rsidRPr="00000000" w14:paraId="00000019">
      <w:pPr>
        <w:rPr/>
      </w:pPr>
      <w:r w:rsidDel="00000000" w:rsidR="00000000" w:rsidRPr="00000000">
        <w:rPr>
          <w:rtl w:val="0"/>
        </w:rPr>
        <w:t xml:space="preserve">Le Plastic Scanner, de par sa conception initiale, ne peut qu’analyser des échantillons purs, aucun plastique complexe ne peut donc être analysé. La position de l’échantillon est cruciale, il doit recouvrir la totalité de la surface de mesure circulaire. En corrélation avec cette dernière précaution, il faut s’assurer que la circonférence de l’échantillon soit suffisante afin de recouvrir la surface de mesures. Enfin, l’échantillon doit rester complètement immobile lors de l’acquisition, sous peine de fausser la mesure en cours.</w:t>
      </w:r>
    </w:p>
    <w:p w:rsidR="00000000" w:rsidDel="00000000" w:rsidP="00000000" w:rsidRDefault="00000000" w:rsidRPr="00000000" w14:paraId="0000001A">
      <w:pPr>
        <w:rPr/>
      </w:pPr>
      <w:r w:rsidDel="00000000" w:rsidR="00000000" w:rsidRPr="00000000">
        <w:rPr/>
        <w:drawing>
          <wp:inline distB="114300" distT="114300" distL="114300" distR="114300">
            <wp:extent cx="3098006" cy="413067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098006" cy="4130675"/>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